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43A4E" w14:textId="15DBE485" w:rsidR="006E16E9" w:rsidRPr="002D0BE8" w:rsidRDefault="009C756C" w:rsidP="00284793">
      <w:pPr>
        <w:rPr>
          <w:b/>
          <w:bCs/>
          <w:sz w:val="22"/>
          <w:szCs w:val="22"/>
        </w:rPr>
      </w:pPr>
      <w:r w:rsidRPr="002D0BE8">
        <w:rPr>
          <w:sz w:val="22"/>
          <w:szCs w:val="22"/>
        </w:rPr>
        <w:t xml:space="preserve">Date: </w:t>
      </w:r>
      <w:r w:rsidRPr="002D0BE8">
        <w:rPr>
          <w:sz w:val="22"/>
          <w:szCs w:val="22"/>
          <w:highlight w:val="yellow"/>
        </w:rPr>
        <w:t>[Insert Date]</w:t>
      </w:r>
      <w:r w:rsidRPr="002D0BE8">
        <w:rPr>
          <w:sz w:val="22"/>
          <w:szCs w:val="22"/>
        </w:rPr>
        <w:br/>
      </w:r>
      <w:r w:rsidRPr="002D0BE8">
        <w:rPr>
          <w:sz w:val="22"/>
          <w:szCs w:val="22"/>
        </w:rPr>
        <w:br/>
        <w:t>To: DME Medicare Administrative Contractor</w:t>
      </w:r>
      <w:r w:rsidRPr="002D0BE8">
        <w:rPr>
          <w:sz w:val="22"/>
          <w:szCs w:val="22"/>
        </w:rPr>
        <w:br/>
        <w:t>Re: Public Comment on Draft Local Coverage Determination</w:t>
      </w:r>
      <w:r w:rsidR="00456F65" w:rsidRPr="002D0BE8">
        <w:rPr>
          <w:sz w:val="22"/>
          <w:szCs w:val="22"/>
        </w:rPr>
        <w:t xml:space="preserve"> (DL33797) </w:t>
      </w:r>
      <w:r w:rsidR="00456F65" w:rsidRPr="002D0BE8">
        <w:rPr>
          <w:sz w:val="22"/>
          <w:szCs w:val="22"/>
        </w:rPr>
        <w:br/>
      </w:r>
      <w:r w:rsidRPr="002D0BE8">
        <w:rPr>
          <w:sz w:val="22"/>
          <w:szCs w:val="22"/>
        </w:rPr>
        <w:t>Oxygen and Oxygen Equipment (Group V: Topical Oxygen Therapy)</w:t>
      </w:r>
      <w:r w:rsidR="00456F65" w:rsidRPr="002D0BE8">
        <w:rPr>
          <w:sz w:val="22"/>
          <w:szCs w:val="22"/>
        </w:rPr>
        <w:t xml:space="preserve"> </w:t>
      </w:r>
      <w:r w:rsidRPr="002D0BE8">
        <w:rPr>
          <w:sz w:val="22"/>
          <w:szCs w:val="22"/>
        </w:rPr>
        <w:br/>
      </w:r>
      <w:r w:rsidRPr="002D0BE8">
        <w:rPr>
          <w:sz w:val="22"/>
          <w:szCs w:val="22"/>
        </w:rPr>
        <w:br/>
        <w:t xml:space="preserve">Provider Name: </w:t>
      </w:r>
      <w:r w:rsidRPr="002D0BE8">
        <w:rPr>
          <w:sz w:val="22"/>
          <w:szCs w:val="22"/>
          <w:highlight w:val="yellow"/>
        </w:rPr>
        <w:t>[Insert Name, Credentials]</w:t>
      </w:r>
      <w:r w:rsidRPr="002D0BE8">
        <w:rPr>
          <w:sz w:val="22"/>
          <w:szCs w:val="22"/>
        </w:rPr>
        <w:br/>
        <w:t xml:space="preserve">Specialty: </w:t>
      </w:r>
      <w:r w:rsidRPr="002D0BE8">
        <w:rPr>
          <w:sz w:val="22"/>
          <w:szCs w:val="22"/>
          <w:highlight w:val="yellow"/>
        </w:rPr>
        <w:t>[Insert Specialty — e.g., Podiatry, Vascular Surgery, Wound Care, Endocrinology]</w:t>
      </w:r>
      <w:r w:rsidRPr="002D0BE8">
        <w:rPr>
          <w:sz w:val="22"/>
          <w:szCs w:val="22"/>
        </w:rPr>
        <w:br/>
        <w:t xml:space="preserve">Practice Name: </w:t>
      </w:r>
      <w:r w:rsidRPr="002D0BE8">
        <w:rPr>
          <w:sz w:val="22"/>
          <w:szCs w:val="22"/>
          <w:highlight w:val="yellow"/>
        </w:rPr>
        <w:t>[Insert Practice/Institution Name]</w:t>
      </w:r>
      <w:r w:rsidRPr="002D0BE8">
        <w:rPr>
          <w:sz w:val="22"/>
          <w:szCs w:val="22"/>
        </w:rPr>
        <w:br/>
        <w:t xml:space="preserve">NPI: </w:t>
      </w:r>
      <w:r w:rsidRPr="002D0BE8">
        <w:rPr>
          <w:sz w:val="22"/>
          <w:szCs w:val="22"/>
          <w:highlight w:val="yellow"/>
        </w:rPr>
        <w:t>[Insert NPI Number]</w:t>
      </w:r>
      <w:r w:rsidRPr="002D0BE8">
        <w:rPr>
          <w:sz w:val="22"/>
          <w:szCs w:val="22"/>
        </w:rPr>
        <w:br/>
        <w:t xml:space="preserve">Address: </w:t>
      </w:r>
      <w:r w:rsidRPr="002D0BE8">
        <w:rPr>
          <w:sz w:val="22"/>
          <w:szCs w:val="22"/>
          <w:highlight w:val="yellow"/>
        </w:rPr>
        <w:t>[Insert Practice Address]</w:t>
      </w:r>
      <w:r w:rsidRPr="002D0BE8">
        <w:rPr>
          <w:sz w:val="22"/>
          <w:szCs w:val="22"/>
        </w:rPr>
        <w:br/>
        <w:t xml:space="preserve">Phone: </w:t>
      </w:r>
      <w:r w:rsidRPr="002D0BE8">
        <w:rPr>
          <w:sz w:val="22"/>
          <w:szCs w:val="22"/>
          <w:highlight w:val="yellow"/>
        </w:rPr>
        <w:t>[Insert Phone Number]</w:t>
      </w:r>
      <w:r w:rsidRPr="002D0BE8">
        <w:rPr>
          <w:sz w:val="22"/>
          <w:szCs w:val="22"/>
        </w:rPr>
        <w:br/>
        <w:t xml:space="preserve">Email: </w:t>
      </w:r>
      <w:r w:rsidRPr="002D0BE8">
        <w:rPr>
          <w:sz w:val="22"/>
          <w:szCs w:val="22"/>
          <w:highlight w:val="yellow"/>
        </w:rPr>
        <w:t>[Insert Email Address]</w:t>
      </w:r>
      <w:r w:rsidRPr="002D0BE8">
        <w:rPr>
          <w:sz w:val="22"/>
          <w:szCs w:val="22"/>
        </w:rPr>
        <w:br/>
      </w:r>
      <w:r w:rsidRPr="002D0BE8">
        <w:rPr>
          <w:sz w:val="22"/>
          <w:szCs w:val="22"/>
        </w:rPr>
        <w:br/>
        <w:t>Dear Medical Director</w:t>
      </w:r>
      <w:r w:rsidR="00063720" w:rsidRPr="002D0BE8">
        <w:rPr>
          <w:sz w:val="22"/>
          <w:szCs w:val="22"/>
        </w:rPr>
        <w:t>s</w:t>
      </w:r>
      <w:r w:rsidRPr="002D0BE8">
        <w:rPr>
          <w:sz w:val="22"/>
          <w:szCs w:val="22"/>
        </w:rPr>
        <w:t xml:space="preserve"> and LCD Review Committee,</w:t>
      </w:r>
      <w:r w:rsidRPr="002D0BE8">
        <w:rPr>
          <w:sz w:val="22"/>
          <w:szCs w:val="22"/>
        </w:rPr>
        <w:br/>
      </w:r>
      <w:r w:rsidRPr="002D0BE8">
        <w:rPr>
          <w:sz w:val="22"/>
          <w:szCs w:val="22"/>
        </w:rPr>
        <w:br/>
        <w:t xml:space="preserve">I am writing as a </w:t>
      </w:r>
      <w:r w:rsidRPr="002D0BE8">
        <w:rPr>
          <w:sz w:val="22"/>
          <w:szCs w:val="22"/>
          <w:highlight w:val="yellow"/>
        </w:rPr>
        <w:t>[insert specialty]</w:t>
      </w:r>
      <w:r w:rsidRPr="002D0BE8">
        <w:rPr>
          <w:sz w:val="22"/>
          <w:szCs w:val="22"/>
        </w:rPr>
        <w:t xml:space="preserve"> provider who treats </w:t>
      </w:r>
      <w:r w:rsidR="00864395" w:rsidRPr="002D0BE8">
        <w:rPr>
          <w:sz w:val="22"/>
          <w:szCs w:val="22"/>
        </w:rPr>
        <w:t>patients</w:t>
      </w:r>
      <w:r w:rsidRPr="002D0BE8">
        <w:rPr>
          <w:sz w:val="22"/>
          <w:szCs w:val="22"/>
        </w:rPr>
        <w:t xml:space="preserve"> with diabetic foot ulcers (DFUs) to provide feedback on the draft Local Coverage Determination for Oxygen and Oxygen Equipment, specifically the Group V provisions addressing topical oxygen therapy (TOT).</w:t>
      </w:r>
      <w:r w:rsidRPr="002D0BE8">
        <w:rPr>
          <w:sz w:val="22"/>
          <w:szCs w:val="22"/>
        </w:rPr>
        <w:br/>
      </w:r>
      <w:r w:rsidRPr="002D0BE8">
        <w:rPr>
          <w:sz w:val="22"/>
          <w:szCs w:val="22"/>
        </w:rPr>
        <w:br/>
        <w:t xml:space="preserve">I support the establishment of Medicare coverage for TOT as an adjunctive treatment for nonhealing DFUs. This coverage determination is consistent with the American Diabetes Association 2026 Standards of Care, the International Working Group on the Diabetic Foot 2023 guidelines, and the Wound Healing Society 2024 guidelines. </w:t>
      </w:r>
      <w:r w:rsidRPr="002D0BE8">
        <w:rPr>
          <w:b/>
          <w:bCs/>
          <w:sz w:val="22"/>
          <w:szCs w:val="22"/>
        </w:rPr>
        <w:t xml:space="preserve">However, I have concerns about </w:t>
      </w:r>
      <w:r w:rsidR="00C86286" w:rsidRPr="002D0BE8">
        <w:rPr>
          <w:b/>
          <w:bCs/>
          <w:sz w:val="22"/>
          <w:szCs w:val="22"/>
        </w:rPr>
        <w:t>a few</w:t>
      </w:r>
      <w:r w:rsidRPr="002D0BE8">
        <w:rPr>
          <w:b/>
          <w:bCs/>
          <w:sz w:val="22"/>
          <w:szCs w:val="22"/>
        </w:rPr>
        <w:t xml:space="preserve"> provisions that, as currently written, may restrict access for my patients and create unnecessary administrative burden.</w:t>
      </w:r>
      <w:r w:rsidRPr="002D0BE8">
        <w:rPr>
          <w:sz w:val="22"/>
          <w:szCs w:val="22"/>
        </w:rPr>
        <w:br/>
      </w:r>
      <w:r w:rsidRPr="002D0BE8">
        <w:rPr>
          <w:sz w:val="22"/>
          <w:szCs w:val="22"/>
        </w:rPr>
        <w:br/>
      </w:r>
      <w:r w:rsidRPr="002D0BE8">
        <w:rPr>
          <w:sz w:val="22"/>
          <w:szCs w:val="22"/>
          <w:highlight w:val="yellow"/>
        </w:rPr>
        <w:t xml:space="preserve">[INSTRUCTION TO PROVIDER: </w:t>
      </w:r>
      <w:r w:rsidRPr="00842C85">
        <w:rPr>
          <w:i/>
          <w:iCs/>
          <w:sz w:val="22"/>
          <w:szCs w:val="22"/>
          <w:highlight w:val="yellow"/>
        </w:rPr>
        <w:t>Select the concerns below that are most relevant to your practice. You may submit all eight or focus on those you feel most strongly about. Personalize each section with your own clinical experience where indicated</w:t>
      </w:r>
      <w:r w:rsidRPr="002D0BE8">
        <w:rPr>
          <w:sz w:val="22"/>
          <w:szCs w:val="22"/>
          <w:highlight w:val="yellow"/>
        </w:rPr>
        <w:t>.]</w:t>
      </w:r>
      <w:r w:rsidRPr="002D0BE8">
        <w:rPr>
          <w:sz w:val="22"/>
          <w:szCs w:val="22"/>
        </w:rPr>
        <w:br/>
      </w:r>
      <w:r w:rsidRPr="002D0BE8">
        <w:rPr>
          <w:sz w:val="22"/>
          <w:szCs w:val="22"/>
        </w:rPr>
        <w:br/>
      </w:r>
      <w:r w:rsidRPr="002D0BE8">
        <w:rPr>
          <w:sz w:val="22"/>
          <w:szCs w:val="22"/>
        </w:rPr>
        <w:br/>
      </w:r>
      <w:r w:rsidRPr="002D0BE8">
        <w:rPr>
          <w:b/>
          <w:bCs/>
          <w:sz w:val="22"/>
          <w:szCs w:val="22"/>
        </w:rPr>
        <w:t>Concern</w:t>
      </w:r>
      <w:r w:rsidR="006D1917" w:rsidRPr="002D0BE8">
        <w:rPr>
          <w:b/>
          <w:bCs/>
          <w:sz w:val="22"/>
          <w:szCs w:val="22"/>
        </w:rPr>
        <w:t xml:space="preserve"> 1</w:t>
      </w:r>
      <w:r w:rsidR="00751F7F" w:rsidRPr="002D0BE8">
        <w:rPr>
          <w:b/>
          <w:bCs/>
          <w:sz w:val="22"/>
          <w:szCs w:val="22"/>
        </w:rPr>
        <w:t xml:space="preserve">: </w:t>
      </w:r>
      <w:r w:rsidRPr="002D0BE8">
        <w:rPr>
          <w:b/>
          <w:bCs/>
          <w:sz w:val="22"/>
          <w:szCs w:val="22"/>
        </w:rPr>
        <w:t>The ≥20% Monthly Wound Area Reduction Threshold and Classification Scale Alternative</w:t>
      </w:r>
      <w:r w:rsidRPr="002D0BE8">
        <w:rPr>
          <w:sz w:val="22"/>
          <w:szCs w:val="22"/>
        </w:rPr>
        <w:br/>
      </w:r>
    </w:p>
    <w:p w14:paraId="34D1766E" w14:textId="4CF172F7" w:rsidR="006E16E9" w:rsidRPr="002D0BE8" w:rsidRDefault="006E16E9" w:rsidP="00284793">
      <w:pPr>
        <w:rPr>
          <w:sz w:val="22"/>
          <w:szCs w:val="22"/>
        </w:rPr>
      </w:pPr>
      <w:r w:rsidRPr="002D0BE8">
        <w:rPr>
          <w:b/>
          <w:bCs/>
          <w:sz w:val="22"/>
          <w:szCs w:val="22"/>
        </w:rPr>
        <w:t>LCD Proposed Language:</w:t>
      </w:r>
      <w:r w:rsidRPr="002D0BE8">
        <w:rPr>
          <w:sz w:val="22"/>
          <w:szCs w:val="22"/>
        </w:rPr>
        <w:t xml:space="preserve"> "</w:t>
      </w:r>
      <w:r w:rsidRPr="002D0BE8">
        <w:rPr>
          <w:i/>
          <w:iCs/>
          <w:sz w:val="22"/>
          <w:szCs w:val="22"/>
        </w:rPr>
        <w:t>A reduction in ulcer area (length × width) of ≥ 20% from the most recent month's measurement or improvement in the diabetic foot ulcer classification on a clinically validated standardized grading scale”</w:t>
      </w:r>
    </w:p>
    <w:p w14:paraId="24BA212B" w14:textId="01B1CD3B" w:rsidR="00181620" w:rsidRPr="002D0BE8" w:rsidRDefault="009C756C" w:rsidP="00284793">
      <w:pPr>
        <w:rPr>
          <w:sz w:val="22"/>
          <w:szCs w:val="22"/>
        </w:rPr>
      </w:pPr>
      <w:r w:rsidRPr="002D0BE8">
        <w:rPr>
          <w:sz w:val="22"/>
          <w:szCs w:val="22"/>
        </w:rPr>
        <w:t xml:space="preserve">The requirement for </w:t>
      </w:r>
      <w:r w:rsidRPr="002D0BE8">
        <w:rPr>
          <w:sz w:val="22"/>
          <w:szCs w:val="22"/>
          <w:u w:val="single"/>
        </w:rPr>
        <w:t>≥20% wound area reduction each month</w:t>
      </w:r>
      <w:r w:rsidRPr="002D0BE8">
        <w:rPr>
          <w:sz w:val="22"/>
          <w:szCs w:val="22"/>
        </w:rPr>
        <w:t xml:space="preserve"> is overly rigid and not supported by validated wound healing prediction literature. The established benchmark </w:t>
      </w:r>
      <w:r w:rsidR="00446FE8" w:rsidRPr="002D0BE8">
        <w:rPr>
          <w:sz w:val="22"/>
          <w:szCs w:val="22"/>
        </w:rPr>
        <w:t xml:space="preserve">as </w:t>
      </w:r>
      <w:r w:rsidRPr="002D0BE8">
        <w:rPr>
          <w:sz w:val="22"/>
          <w:szCs w:val="22"/>
        </w:rPr>
        <w:t xml:space="preserve">validated by Sheehan </w:t>
      </w:r>
      <w:r w:rsidRPr="002D0BE8">
        <w:rPr>
          <w:sz w:val="22"/>
          <w:szCs w:val="22"/>
        </w:rPr>
        <w:lastRenderedPageBreak/>
        <w:t>et al. (Diabetes Care, 2003) and endorsed by the ADA</w:t>
      </w:r>
      <w:r w:rsidR="00446FE8" w:rsidRPr="002D0BE8">
        <w:rPr>
          <w:sz w:val="22"/>
          <w:szCs w:val="22"/>
        </w:rPr>
        <w:t xml:space="preserve"> and I</w:t>
      </w:r>
      <w:r w:rsidRPr="002D0BE8">
        <w:rPr>
          <w:sz w:val="22"/>
          <w:szCs w:val="22"/>
        </w:rPr>
        <w:t>WGDF, is a 50% wound area reduction at 4 weeks as a predictor of healing at 12 weeks. A monthly 20% threshold has not been validated as a predictor of healing failure.</w:t>
      </w:r>
      <w:r w:rsidRPr="002D0BE8">
        <w:rPr>
          <w:sz w:val="22"/>
          <w:szCs w:val="22"/>
        </w:rPr>
        <w:br/>
      </w:r>
      <w:r w:rsidRPr="002D0BE8">
        <w:rPr>
          <w:sz w:val="22"/>
          <w:szCs w:val="22"/>
        </w:rPr>
        <w:br/>
        <w:t xml:space="preserve">Wound healing is nonlinear. In my practice, I have observed patients whose DFUs </w:t>
      </w:r>
      <w:r w:rsidRPr="002D0BE8">
        <w:rPr>
          <w:sz w:val="22"/>
          <w:szCs w:val="22"/>
          <w:highlight w:val="yellow"/>
        </w:rPr>
        <w:t xml:space="preserve">[describe your clinical </w:t>
      </w:r>
      <w:proofErr w:type="gramStart"/>
      <w:r w:rsidRPr="002D0BE8">
        <w:rPr>
          <w:sz w:val="22"/>
          <w:szCs w:val="22"/>
          <w:highlight w:val="yellow"/>
        </w:rPr>
        <w:t>experience  e.g.</w:t>
      </w:r>
      <w:proofErr w:type="gramEnd"/>
      <w:r w:rsidRPr="002D0BE8">
        <w:rPr>
          <w:sz w:val="22"/>
          <w:szCs w:val="22"/>
          <w:highlight w:val="yellow"/>
        </w:rPr>
        <w:t>, plateau for a period before resuming healing, show improvement in wound bed quality before measurable area reduction, etc.].</w:t>
      </w:r>
      <w:r w:rsidRPr="002D0BE8">
        <w:rPr>
          <w:sz w:val="22"/>
          <w:szCs w:val="22"/>
        </w:rPr>
        <w:br/>
      </w:r>
      <w:r w:rsidRPr="002D0BE8">
        <w:rPr>
          <w:sz w:val="22"/>
          <w:szCs w:val="22"/>
        </w:rPr>
        <w:br/>
      </w:r>
      <w:r w:rsidR="00284793" w:rsidRPr="002D0BE8">
        <w:rPr>
          <w:sz w:val="22"/>
          <w:szCs w:val="22"/>
        </w:rPr>
        <w:t xml:space="preserve">The policy should replace the requirement for a 20% reduction in wound area each month </w:t>
      </w:r>
      <w:r w:rsidR="001A453E" w:rsidRPr="002D0BE8">
        <w:rPr>
          <w:sz w:val="22"/>
          <w:szCs w:val="22"/>
        </w:rPr>
        <w:t>and w</w:t>
      </w:r>
      <w:r w:rsidR="00284793" w:rsidRPr="002D0BE8">
        <w:rPr>
          <w:sz w:val="22"/>
          <w:szCs w:val="22"/>
        </w:rPr>
        <w:t xml:space="preserve">ound improvement should be evaluated using a comprehensive clinical assessment rather than relying on a single metric. Measures of progress may include, but are not limited to, changes in wound dimensions and surface area, wound bed characteristics such as increased granulation tissue, reduced necrotic tissue, or advancing epithelialization, exudate amount and type, and improvements in </w:t>
      </w:r>
      <w:proofErr w:type="spellStart"/>
      <w:r w:rsidR="00284793" w:rsidRPr="002D0BE8">
        <w:rPr>
          <w:sz w:val="22"/>
          <w:szCs w:val="22"/>
        </w:rPr>
        <w:t>periwound</w:t>
      </w:r>
      <w:proofErr w:type="spellEnd"/>
      <w:r w:rsidR="00284793" w:rsidRPr="002D0BE8">
        <w:rPr>
          <w:sz w:val="22"/>
          <w:szCs w:val="22"/>
        </w:rPr>
        <w:t xml:space="preserve"> skin condition. </w:t>
      </w:r>
    </w:p>
    <w:p w14:paraId="2B8E92CE" w14:textId="45DCA1E4" w:rsidR="00D53721" w:rsidRPr="002D0BE8" w:rsidRDefault="00D53721" w:rsidP="00284793">
      <w:pPr>
        <w:rPr>
          <w:sz w:val="22"/>
          <w:szCs w:val="22"/>
          <w:highlight w:val="cyan"/>
        </w:rPr>
      </w:pPr>
      <w:r w:rsidRPr="002D0BE8">
        <w:rPr>
          <w:sz w:val="22"/>
          <w:szCs w:val="22"/>
          <w:highlight w:val="cyan"/>
        </w:rPr>
        <w:t>Recommended Language</w:t>
      </w:r>
    </w:p>
    <w:p w14:paraId="50CF427B" w14:textId="66240173" w:rsidR="00D53721" w:rsidRPr="002D0BE8" w:rsidRDefault="00D53721" w:rsidP="00D53721">
      <w:pPr>
        <w:rPr>
          <w:sz w:val="22"/>
          <w:szCs w:val="22"/>
          <w:highlight w:val="cyan"/>
        </w:rPr>
      </w:pPr>
      <w:r w:rsidRPr="002D0BE8">
        <w:rPr>
          <w:sz w:val="22"/>
          <w:szCs w:val="22"/>
          <w:highlight w:val="cyan"/>
        </w:rPr>
        <w:t>Replace the ≥20% monthly threshold with documented clinically meaningful progress</w:t>
      </w:r>
      <w:r w:rsidR="00746A33" w:rsidRPr="002D0BE8">
        <w:rPr>
          <w:sz w:val="22"/>
          <w:szCs w:val="22"/>
          <w:highlight w:val="cyan"/>
        </w:rPr>
        <w:t xml:space="preserve"> metrics such as, but not limited </w:t>
      </w:r>
      <w:proofErr w:type="gramStart"/>
      <w:r w:rsidR="00746A33" w:rsidRPr="002D0BE8">
        <w:rPr>
          <w:sz w:val="22"/>
          <w:szCs w:val="22"/>
          <w:highlight w:val="cyan"/>
        </w:rPr>
        <w:t xml:space="preserve">to </w:t>
      </w:r>
      <w:r w:rsidRPr="002D0BE8">
        <w:rPr>
          <w:sz w:val="22"/>
          <w:szCs w:val="22"/>
          <w:highlight w:val="cyan"/>
        </w:rPr>
        <w:t xml:space="preserve"> (</w:t>
      </w:r>
      <w:proofErr w:type="gramEnd"/>
      <w:r w:rsidRPr="002D0BE8">
        <w:rPr>
          <w:sz w:val="22"/>
          <w:szCs w:val="22"/>
          <w:highlight w:val="cyan"/>
        </w:rPr>
        <w:t>modeled on CAMP/CTP LCDs):</w:t>
      </w:r>
    </w:p>
    <w:p w14:paraId="3A3657A7" w14:textId="77777777" w:rsidR="00D53721" w:rsidRPr="002D0BE8" w:rsidRDefault="00D53721" w:rsidP="00595B45">
      <w:pPr>
        <w:numPr>
          <w:ilvl w:val="0"/>
          <w:numId w:val="1"/>
        </w:numPr>
        <w:spacing w:after="0"/>
        <w:rPr>
          <w:sz w:val="22"/>
          <w:szCs w:val="22"/>
          <w:highlight w:val="cyan"/>
        </w:rPr>
      </w:pPr>
      <w:r w:rsidRPr="002D0BE8">
        <w:rPr>
          <w:sz w:val="22"/>
          <w:szCs w:val="22"/>
          <w:highlight w:val="cyan"/>
        </w:rPr>
        <w:t>reduction in ulcer area</w:t>
      </w:r>
    </w:p>
    <w:p w14:paraId="51CD7BE2" w14:textId="77777777" w:rsidR="00D53721" w:rsidRPr="002D0BE8" w:rsidRDefault="00D53721" w:rsidP="00595B45">
      <w:pPr>
        <w:numPr>
          <w:ilvl w:val="0"/>
          <w:numId w:val="1"/>
        </w:numPr>
        <w:spacing w:after="0"/>
        <w:rPr>
          <w:sz w:val="22"/>
          <w:szCs w:val="22"/>
          <w:highlight w:val="cyan"/>
        </w:rPr>
      </w:pPr>
      <w:r w:rsidRPr="002D0BE8">
        <w:rPr>
          <w:sz w:val="22"/>
          <w:szCs w:val="22"/>
          <w:highlight w:val="cyan"/>
        </w:rPr>
        <w:t>Increased granulation / epithelial advancement; decreased slough/necrotic tissue</w:t>
      </w:r>
    </w:p>
    <w:p w14:paraId="53165B40" w14:textId="77777777" w:rsidR="00D53721" w:rsidRPr="002D0BE8" w:rsidRDefault="00D53721" w:rsidP="00595B45">
      <w:pPr>
        <w:numPr>
          <w:ilvl w:val="0"/>
          <w:numId w:val="1"/>
        </w:numPr>
        <w:spacing w:after="0"/>
        <w:rPr>
          <w:sz w:val="22"/>
          <w:szCs w:val="22"/>
          <w:highlight w:val="cyan"/>
        </w:rPr>
      </w:pPr>
      <w:r w:rsidRPr="002D0BE8">
        <w:rPr>
          <w:sz w:val="22"/>
          <w:szCs w:val="22"/>
          <w:highlight w:val="cyan"/>
        </w:rPr>
        <w:t>Decreased exudate volume, improved quality</w:t>
      </w:r>
    </w:p>
    <w:p w14:paraId="1BB79166" w14:textId="77777777" w:rsidR="00D53721" w:rsidRPr="002D0BE8" w:rsidRDefault="00D53721" w:rsidP="00595B45">
      <w:pPr>
        <w:numPr>
          <w:ilvl w:val="0"/>
          <w:numId w:val="1"/>
        </w:numPr>
        <w:spacing w:after="0"/>
        <w:rPr>
          <w:sz w:val="22"/>
          <w:szCs w:val="22"/>
          <w:highlight w:val="cyan"/>
        </w:rPr>
      </w:pPr>
      <w:r w:rsidRPr="002D0BE8">
        <w:rPr>
          <w:sz w:val="22"/>
          <w:szCs w:val="22"/>
          <w:highlight w:val="cyan"/>
        </w:rPr>
        <w:t xml:space="preserve">Edge contraction, decreased depth/undermining, improved </w:t>
      </w:r>
      <w:proofErr w:type="spellStart"/>
      <w:r w:rsidRPr="002D0BE8">
        <w:rPr>
          <w:sz w:val="22"/>
          <w:szCs w:val="22"/>
          <w:highlight w:val="cyan"/>
        </w:rPr>
        <w:t>periwound</w:t>
      </w:r>
      <w:proofErr w:type="spellEnd"/>
      <w:r w:rsidRPr="002D0BE8">
        <w:rPr>
          <w:sz w:val="22"/>
          <w:szCs w:val="22"/>
          <w:highlight w:val="cyan"/>
        </w:rPr>
        <w:t xml:space="preserve"> skin</w:t>
      </w:r>
    </w:p>
    <w:p w14:paraId="6C51C627" w14:textId="77777777" w:rsidR="00D53721" w:rsidRPr="002D0BE8" w:rsidRDefault="00D53721" w:rsidP="00595B45">
      <w:pPr>
        <w:numPr>
          <w:ilvl w:val="0"/>
          <w:numId w:val="1"/>
        </w:numPr>
        <w:spacing w:after="0"/>
        <w:rPr>
          <w:sz w:val="22"/>
          <w:szCs w:val="22"/>
          <w:highlight w:val="cyan"/>
        </w:rPr>
      </w:pPr>
      <w:r w:rsidRPr="002D0BE8">
        <w:rPr>
          <w:sz w:val="22"/>
          <w:szCs w:val="22"/>
          <w:highlight w:val="cyan"/>
        </w:rPr>
        <w:t>Pain reduction, improved ambulation, increased tissue oxygenation (NIRS/spectral imaging)</w:t>
      </w:r>
    </w:p>
    <w:p w14:paraId="182BA6AE" w14:textId="77777777" w:rsidR="00D53721" w:rsidRPr="002D0BE8" w:rsidRDefault="00D53721" w:rsidP="00595B45">
      <w:pPr>
        <w:numPr>
          <w:ilvl w:val="0"/>
          <w:numId w:val="1"/>
        </w:numPr>
        <w:spacing w:after="0"/>
        <w:rPr>
          <w:sz w:val="22"/>
          <w:szCs w:val="22"/>
          <w:highlight w:val="cyan"/>
        </w:rPr>
      </w:pPr>
      <w:r w:rsidRPr="002D0BE8">
        <w:rPr>
          <w:sz w:val="22"/>
          <w:szCs w:val="22"/>
          <w:highlight w:val="cyan"/>
        </w:rPr>
        <w:t>Remove or substantially revise the classification-scale alternative.</w:t>
      </w:r>
    </w:p>
    <w:p w14:paraId="5DA612E3" w14:textId="77777777" w:rsidR="00D53721" w:rsidRPr="002D0BE8" w:rsidRDefault="00D53721" w:rsidP="00D53721">
      <w:pPr>
        <w:rPr>
          <w:sz w:val="22"/>
          <w:szCs w:val="22"/>
        </w:rPr>
      </w:pPr>
      <w:r w:rsidRPr="002D0BE8">
        <w:rPr>
          <w:sz w:val="22"/>
          <w:szCs w:val="22"/>
        </w:rPr>
        <w:t>These metrics are already accepted for advanced wound products and are clinically valid.</w:t>
      </w:r>
    </w:p>
    <w:p w14:paraId="2CB5A548" w14:textId="7ACC3A48" w:rsidR="00A70CD5" w:rsidRPr="002D0BE8" w:rsidRDefault="009C756C" w:rsidP="009C756C">
      <w:pPr>
        <w:rPr>
          <w:sz w:val="22"/>
          <w:szCs w:val="22"/>
        </w:rPr>
      </w:pPr>
      <w:r w:rsidRPr="002D0BE8">
        <w:rPr>
          <w:sz w:val="22"/>
          <w:szCs w:val="22"/>
        </w:rPr>
        <w:br/>
      </w:r>
      <w:r w:rsidRPr="002D0BE8">
        <w:rPr>
          <w:b/>
          <w:bCs/>
          <w:sz w:val="22"/>
          <w:szCs w:val="22"/>
        </w:rPr>
        <w:t xml:space="preserve">Concern </w:t>
      </w:r>
      <w:r w:rsidR="006D1917" w:rsidRPr="002D0BE8">
        <w:rPr>
          <w:b/>
          <w:bCs/>
          <w:sz w:val="22"/>
          <w:szCs w:val="22"/>
        </w:rPr>
        <w:t>2</w:t>
      </w:r>
      <w:r w:rsidRPr="002D0BE8">
        <w:rPr>
          <w:b/>
          <w:bCs/>
          <w:sz w:val="22"/>
          <w:szCs w:val="22"/>
        </w:rPr>
        <w:t>: Blanket Infection Exclusions</w:t>
      </w:r>
      <w:r w:rsidRPr="002D0BE8">
        <w:rPr>
          <w:sz w:val="22"/>
          <w:szCs w:val="22"/>
        </w:rPr>
        <w:br/>
      </w:r>
      <w:r w:rsidR="00FF0E9B" w:rsidRPr="002D0BE8">
        <w:rPr>
          <w:b/>
          <w:bCs/>
          <w:sz w:val="22"/>
          <w:szCs w:val="22"/>
        </w:rPr>
        <w:t>LCD Proposed Language:</w:t>
      </w:r>
      <w:r w:rsidR="00FF0E9B" w:rsidRPr="002D0BE8">
        <w:rPr>
          <w:sz w:val="22"/>
          <w:szCs w:val="22"/>
        </w:rPr>
        <w:t xml:space="preserve"> </w:t>
      </w:r>
      <w:r w:rsidR="00FF0E9B" w:rsidRPr="002D0BE8">
        <w:rPr>
          <w:i/>
          <w:iCs/>
          <w:sz w:val="22"/>
          <w:szCs w:val="22"/>
        </w:rPr>
        <w:t>"Topical oxygen therapy will be denied as not reasonable and necessary if one or more of the following is present: Abscess; or, Osteomyelitis; or, Joint sepsis; or, Gangrene."</w:t>
      </w:r>
      <w:r w:rsidR="00FF0E9B" w:rsidRPr="002D0BE8">
        <w:rPr>
          <w:i/>
          <w:iCs/>
          <w:sz w:val="22"/>
          <w:szCs w:val="22"/>
        </w:rPr>
        <w:br/>
      </w:r>
      <w:r w:rsidRPr="002D0BE8">
        <w:rPr>
          <w:sz w:val="22"/>
          <w:szCs w:val="22"/>
        </w:rPr>
        <w:br/>
        <w:t xml:space="preserve">The exclusion of all patients with "abscess, osteomyelitis, joint sepsis, or gangrene" does not distinguish between active untreated infection and infection that is being adequately managed. Many of my chronic DFU patients have </w:t>
      </w:r>
      <w:r w:rsidRPr="002D0BE8">
        <w:rPr>
          <w:sz w:val="22"/>
          <w:szCs w:val="22"/>
          <w:highlight w:val="yellow"/>
        </w:rPr>
        <w:t>[describe your experience e.g., concurrent low-grade osteomyelitis being managed with prolonged antibiotic courses, resolved abscesses after drainage, etc.].</w:t>
      </w:r>
      <w:r w:rsidRPr="002D0BE8">
        <w:rPr>
          <w:sz w:val="22"/>
          <w:szCs w:val="22"/>
        </w:rPr>
        <w:br/>
      </w:r>
      <w:r w:rsidRPr="002D0BE8">
        <w:rPr>
          <w:sz w:val="22"/>
          <w:szCs w:val="22"/>
        </w:rPr>
        <w:br/>
        <w:t>The IWGDF/IDSA 2023 guidelines recommend antibiotic treatment without surgery for forefoot osteomyelitis in selected cases and do not prohibit TOT as adjunctive wound healing therapy when infection is being concurrently managed. Excluding these patients would deny TOT to a substantial proportion of the population the LCD is intended to serve.</w:t>
      </w:r>
      <w:r w:rsidRPr="002D0BE8">
        <w:rPr>
          <w:sz w:val="22"/>
          <w:szCs w:val="22"/>
        </w:rPr>
        <w:br/>
      </w:r>
      <w:r w:rsidRPr="002D0BE8">
        <w:rPr>
          <w:sz w:val="22"/>
          <w:szCs w:val="22"/>
        </w:rPr>
        <w:lastRenderedPageBreak/>
        <w:br/>
        <w:t>I request modification to: "Active, untreated abscess; or active, untreated osteomyelitis; or active, untreated joint sepsis; or gangrene," with a clarifying statement that DFUs with adequately treated concurrent infection are not excluded from TOT coverage.</w:t>
      </w:r>
      <w:r w:rsidRPr="002D0BE8">
        <w:rPr>
          <w:sz w:val="22"/>
          <w:szCs w:val="22"/>
        </w:rPr>
        <w:br/>
      </w:r>
    </w:p>
    <w:p w14:paraId="4F9293F2" w14:textId="77777777" w:rsidR="00A70CD5" w:rsidRPr="002D0BE8" w:rsidRDefault="00A70CD5" w:rsidP="00A70CD5">
      <w:pPr>
        <w:rPr>
          <w:b/>
          <w:bCs/>
          <w:sz w:val="22"/>
          <w:szCs w:val="22"/>
          <w:highlight w:val="cyan"/>
        </w:rPr>
      </w:pPr>
      <w:r w:rsidRPr="002D0BE8">
        <w:rPr>
          <w:b/>
          <w:bCs/>
          <w:sz w:val="22"/>
          <w:szCs w:val="22"/>
          <w:highlight w:val="cyan"/>
        </w:rPr>
        <w:t>Recommended Language</w:t>
      </w:r>
    </w:p>
    <w:p w14:paraId="45428E1E" w14:textId="77777777" w:rsidR="00A70CD5" w:rsidRPr="002D0BE8" w:rsidRDefault="00A70CD5" w:rsidP="00A70CD5">
      <w:pPr>
        <w:rPr>
          <w:b/>
          <w:bCs/>
          <w:sz w:val="22"/>
          <w:szCs w:val="22"/>
        </w:rPr>
      </w:pPr>
      <w:r w:rsidRPr="002D0BE8">
        <w:rPr>
          <w:sz w:val="22"/>
          <w:szCs w:val="22"/>
          <w:highlight w:val="cyan"/>
        </w:rPr>
        <w:t xml:space="preserve">Topical oxygen therapy shall not be covered in the presence of active, untreated abscess, osteomyelitis, joint sepsis, or gangrene. Beneficiaries whose infection has been appropriately treated and </w:t>
      </w:r>
      <w:proofErr w:type="gramStart"/>
      <w:r w:rsidRPr="002D0BE8">
        <w:rPr>
          <w:sz w:val="22"/>
          <w:szCs w:val="22"/>
          <w:highlight w:val="cyan"/>
        </w:rPr>
        <w:t>is</w:t>
      </w:r>
      <w:proofErr w:type="gramEnd"/>
      <w:r w:rsidRPr="002D0BE8">
        <w:rPr>
          <w:sz w:val="22"/>
          <w:szCs w:val="22"/>
          <w:highlight w:val="cyan"/>
        </w:rPr>
        <w:t xml:space="preserve"> under clinical management may be eligible for topical oxygen therapy upon resumption of optimized diabetic foot ulcer care.</w:t>
      </w:r>
      <w:r w:rsidRPr="002D0BE8">
        <w:rPr>
          <w:sz w:val="22"/>
          <w:szCs w:val="22"/>
        </w:rPr>
        <w:br/>
      </w:r>
    </w:p>
    <w:p w14:paraId="656DC99C" w14:textId="71932AFE" w:rsidR="00B1295B" w:rsidRPr="002D0BE8" w:rsidRDefault="009C756C" w:rsidP="00B1295B">
      <w:pPr>
        <w:rPr>
          <w:b/>
          <w:bCs/>
          <w:sz w:val="22"/>
          <w:szCs w:val="22"/>
          <w:highlight w:val="cyan"/>
        </w:rPr>
      </w:pPr>
      <w:r w:rsidRPr="002D0BE8">
        <w:rPr>
          <w:sz w:val="22"/>
          <w:szCs w:val="22"/>
        </w:rPr>
        <w:br/>
      </w:r>
      <w:r w:rsidRPr="002D0BE8">
        <w:rPr>
          <w:b/>
          <w:bCs/>
          <w:sz w:val="22"/>
          <w:szCs w:val="22"/>
        </w:rPr>
        <w:t xml:space="preserve">Concern </w:t>
      </w:r>
      <w:r w:rsidR="006D1917" w:rsidRPr="002D0BE8">
        <w:rPr>
          <w:b/>
          <w:bCs/>
          <w:sz w:val="22"/>
          <w:szCs w:val="22"/>
        </w:rPr>
        <w:t>3</w:t>
      </w:r>
      <w:r w:rsidRPr="002D0BE8">
        <w:rPr>
          <w:b/>
          <w:bCs/>
          <w:sz w:val="22"/>
          <w:szCs w:val="22"/>
        </w:rPr>
        <w:t>: DVT and Malignancy Exclusions Are Overly Broad</w:t>
      </w:r>
      <w:r w:rsidRPr="002D0BE8">
        <w:rPr>
          <w:sz w:val="22"/>
          <w:szCs w:val="22"/>
        </w:rPr>
        <w:br/>
      </w:r>
      <w:r w:rsidR="003C0101" w:rsidRPr="002D0BE8">
        <w:rPr>
          <w:b/>
          <w:bCs/>
          <w:sz w:val="22"/>
          <w:szCs w:val="22"/>
        </w:rPr>
        <w:t>LCD Proposed Language:</w:t>
      </w:r>
      <w:r w:rsidR="003C0101" w:rsidRPr="002D0BE8">
        <w:rPr>
          <w:sz w:val="22"/>
          <w:szCs w:val="22"/>
        </w:rPr>
        <w:t xml:space="preserve"> "</w:t>
      </w:r>
      <w:r w:rsidR="003C0101" w:rsidRPr="002D0BE8">
        <w:rPr>
          <w:i/>
          <w:iCs/>
          <w:sz w:val="22"/>
          <w:szCs w:val="22"/>
        </w:rPr>
        <w:t>Limb involvement on the same side as the DFU in the past three (3) months of: Deep vein thrombosis; or, Malignancy."</w:t>
      </w:r>
      <w:r w:rsidR="003C0101" w:rsidRPr="002D0BE8">
        <w:rPr>
          <w:i/>
          <w:iCs/>
          <w:sz w:val="22"/>
          <w:szCs w:val="22"/>
        </w:rPr>
        <w:br/>
      </w:r>
      <w:r w:rsidRPr="002D0BE8">
        <w:rPr>
          <w:sz w:val="22"/>
          <w:szCs w:val="22"/>
        </w:rPr>
        <w:br/>
        <w:t>The 3-month lookback exclusion for deep vein thrombosis or malignancy on the same limb does not distinguish between active conditions and those that have been adequately treated or resolved. A patient with a fully anticoagulated, resolved DVT or a completely excised cutaneous malignancy should not be excluded from TOT coverage.</w:t>
      </w:r>
      <w:r w:rsidRPr="002D0BE8">
        <w:rPr>
          <w:sz w:val="22"/>
          <w:szCs w:val="22"/>
        </w:rPr>
        <w:br/>
      </w:r>
      <w:r w:rsidRPr="002D0BE8">
        <w:rPr>
          <w:sz w:val="22"/>
          <w:szCs w:val="22"/>
        </w:rPr>
        <w:br/>
        <w:t>No published clinical guideline from the ADA, IWGDF, or Wound Healing Society identifies resolved DVT or excised malignancy as a contraindication to topical oxygen therapy.</w:t>
      </w:r>
      <w:r w:rsidRPr="002D0BE8">
        <w:rPr>
          <w:sz w:val="22"/>
          <w:szCs w:val="22"/>
        </w:rPr>
        <w:br/>
      </w:r>
      <w:r w:rsidRPr="002D0BE8">
        <w:rPr>
          <w:sz w:val="22"/>
          <w:szCs w:val="22"/>
        </w:rPr>
        <w:br/>
        <w:t>I request that the exclusion be narrowed to active, inadequately treated DVT or active malignancy at or adjacent to the DFU site.</w:t>
      </w:r>
      <w:r w:rsidRPr="002D0BE8">
        <w:rPr>
          <w:sz w:val="22"/>
          <w:szCs w:val="22"/>
        </w:rPr>
        <w:br/>
      </w:r>
      <w:r w:rsidRPr="002D0BE8">
        <w:rPr>
          <w:sz w:val="22"/>
          <w:szCs w:val="22"/>
        </w:rPr>
        <w:br/>
      </w:r>
      <w:r w:rsidR="00B1295B" w:rsidRPr="002D0BE8">
        <w:rPr>
          <w:b/>
          <w:bCs/>
          <w:sz w:val="22"/>
          <w:szCs w:val="22"/>
          <w:highlight w:val="cyan"/>
        </w:rPr>
        <w:t>Recommended Language</w:t>
      </w:r>
    </w:p>
    <w:p w14:paraId="760CE593" w14:textId="77777777" w:rsidR="00B1295B" w:rsidRPr="002D0BE8" w:rsidRDefault="00B1295B" w:rsidP="00B1295B">
      <w:pPr>
        <w:rPr>
          <w:sz w:val="22"/>
          <w:szCs w:val="22"/>
        </w:rPr>
      </w:pPr>
      <w:r w:rsidRPr="002D0BE8">
        <w:rPr>
          <w:sz w:val="22"/>
          <w:szCs w:val="22"/>
          <w:highlight w:val="cyan"/>
        </w:rPr>
        <w:t>Topical oxygen therapy shall not be covered in beneficiaries with active deep vein thrombosis or active malignancy involving the affected limb. A history of successfully treated deep vein thrombosis or malignancy shall not, by itself, constitute a contraindication to coverage.</w:t>
      </w:r>
    </w:p>
    <w:p w14:paraId="46BB3441" w14:textId="1B4045A2" w:rsidR="006D1917" w:rsidRPr="002D0BE8" w:rsidRDefault="006D1917" w:rsidP="006D1917">
      <w:pPr>
        <w:rPr>
          <w:sz w:val="22"/>
          <w:szCs w:val="22"/>
        </w:rPr>
      </w:pPr>
      <w:r w:rsidRPr="002D0BE8">
        <w:rPr>
          <w:b/>
          <w:bCs/>
          <w:sz w:val="22"/>
          <w:szCs w:val="22"/>
        </w:rPr>
        <w:t>Concern 4: Monthly In-Person</w:t>
      </w:r>
      <w:r w:rsidRPr="009103F7">
        <w:rPr>
          <w:b/>
          <w:bCs/>
          <w:color w:val="EE0000"/>
          <w:sz w:val="22"/>
          <w:szCs w:val="22"/>
        </w:rPr>
        <w:t xml:space="preserve"> </w:t>
      </w:r>
      <w:r w:rsidR="00C416C0" w:rsidRPr="00C416C0">
        <w:rPr>
          <w:b/>
          <w:bCs/>
          <w:sz w:val="22"/>
          <w:szCs w:val="22"/>
        </w:rPr>
        <w:t>Visit</w:t>
      </w:r>
      <w:r w:rsidR="009103F7" w:rsidRPr="00C416C0">
        <w:rPr>
          <w:b/>
          <w:bCs/>
          <w:sz w:val="22"/>
          <w:szCs w:val="22"/>
        </w:rPr>
        <w:t xml:space="preserve"> </w:t>
      </w:r>
      <w:r w:rsidRPr="002D0BE8">
        <w:rPr>
          <w:b/>
          <w:bCs/>
          <w:sz w:val="22"/>
          <w:szCs w:val="22"/>
        </w:rPr>
        <w:t>Requirement</w:t>
      </w:r>
      <w:r w:rsidRPr="002D0BE8">
        <w:rPr>
          <w:sz w:val="22"/>
          <w:szCs w:val="22"/>
        </w:rPr>
        <w:br/>
      </w:r>
      <w:r w:rsidRPr="002D0BE8">
        <w:rPr>
          <w:b/>
          <w:bCs/>
          <w:sz w:val="22"/>
          <w:szCs w:val="22"/>
        </w:rPr>
        <w:t>LCD Proposed Language:</w:t>
      </w:r>
      <w:r w:rsidRPr="002D0BE8">
        <w:rPr>
          <w:b/>
          <w:bCs/>
          <w:sz w:val="22"/>
          <w:szCs w:val="22"/>
        </w:rPr>
        <w:br/>
      </w:r>
      <w:r w:rsidRPr="002D0BE8">
        <w:rPr>
          <w:i/>
          <w:iCs/>
          <w:sz w:val="22"/>
          <w:szCs w:val="22"/>
        </w:rPr>
        <w:t xml:space="preserve">"For continued coverage of topical oxygen therapy…beyond the initial first month…the treating practitioner must complete an </w:t>
      </w:r>
      <w:r w:rsidRPr="002D0BE8">
        <w:rPr>
          <w:i/>
          <w:iCs/>
          <w:sz w:val="22"/>
          <w:szCs w:val="22"/>
          <w:u w:val="single"/>
        </w:rPr>
        <w:t>in-person visit</w:t>
      </w:r>
      <w:r w:rsidRPr="002D0BE8">
        <w:rPr>
          <w:i/>
          <w:iCs/>
          <w:sz w:val="22"/>
          <w:szCs w:val="22"/>
        </w:rPr>
        <w:t xml:space="preserve"> with the beneficiary for each month of additional coverage."</w:t>
      </w:r>
    </w:p>
    <w:p w14:paraId="16D07469" w14:textId="77777777" w:rsidR="006D1917" w:rsidRPr="002D0BE8" w:rsidRDefault="006D1917" w:rsidP="006D1917">
      <w:pPr>
        <w:rPr>
          <w:sz w:val="22"/>
          <w:szCs w:val="22"/>
        </w:rPr>
      </w:pPr>
      <w:r w:rsidRPr="002D0BE8">
        <w:rPr>
          <w:sz w:val="22"/>
          <w:szCs w:val="22"/>
        </w:rPr>
        <w:t xml:space="preserve">The requirement for monthly in-person visits for continued TOT coverage creates a significant burden for both my practice and my patients. Many of my DFU patients </w:t>
      </w:r>
      <w:r w:rsidRPr="002D0BE8">
        <w:rPr>
          <w:sz w:val="22"/>
          <w:szCs w:val="22"/>
          <w:highlight w:val="yellow"/>
        </w:rPr>
        <w:t xml:space="preserve">[describe your patient </w:t>
      </w:r>
      <w:r w:rsidRPr="002D0BE8">
        <w:rPr>
          <w:sz w:val="22"/>
          <w:szCs w:val="22"/>
          <w:highlight w:val="yellow"/>
        </w:rPr>
        <w:lastRenderedPageBreak/>
        <w:t>population e.g., are elderly, have limited mobility, rely on transportation assistance, live in rural areas, etc.].</w:t>
      </w:r>
    </w:p>
    <w:p w14:paraId="560EAEF8" w14:textId="77777777" w:rsidR="006D1917" w:rsidRPr="002D0BE8" w:rsidRDefault="006D1917" w:rsidP="006D1917">
      <w:pPr>
        <w:rPr>
          <w:sz w:val="22"/>
          <w:szCs w:val="22"/>
        </w:rPr>
      </w:pPr>
      <w:r w:rsidRPr="002D0BE8">
        <w:rPr>
          <w:sz w:val="22"/>
          <w:szCs w:val="22"/>
        </w:rPr>
        <w:t>The clinical trial evidence cited in the LCD's own Summary of Evidence assessed outcomes at 4-week and 12-week intervals. Neither the ADA nor the Society for Vascular Surgery mandates monthly in-person re-authorization once advanced wound therapy has been initiated.</w:t>
      </w:r>
    </w:p>
    <w:p w14:paraId="0C5B3D3C" w14:textId="77777777" w:rsidR="006D1917" w:rsidRPr="002D0BE8" w:rsidRDefault="006D1917" w:rsidP="006D1917">
      <w:pPr>
        <w:rPr>
          <w:sz w:val="22"/>
          <w:szCs w:val="22"/>
        </w:rPr>
      </w:pPr>
      <w:r w:rsidRPr="002D0BE8">
        <w:rPr>
          <w:sz w:val="22"/>
          <w:szCs w:val="22"/>
        </w:rPr>
        <w:t>Coverage assessments should not be limited to only in-person visits but offer the practitioner options to telehealth and / or documentation of ongoing clinical benefit. As telehealth wound assessments should be accepted for interim evaluations when supported by standardized digital wound photography, allowing for timely monitoring of wound progress while reducing barriers to ongoing care. A continuity-of-care provision should also be included to ensure that topical oxygen therapy is not interrupted while reauthorization requests are under review or pending.</w:t>
      </w:r>
    </w:p>
    <w:p w14:paraId="2348D1CF" w14:textId="77777777" w:rsidR="006D1917" w:rsidRPr="002D0BE8" w:rsidRDefault="006D1917" w:rsidP="006D1917">
      <w:pPr>
        <w:rPr>
          <w:sz w:val="22"/>
          <w:szCs w:val="22"/>
        </w:rPr>
      </w:pPr>
      <w:r w:rsidRPr="002D0BE8">
        <w:rPr>
          <w:sz w:val="22"/>
          <w:szCs w:val="22"/>
        </w:rPr>
        <w:br/>
      </w:r>
      <w:r w:rsidRPr="002D0BE8">
        <w:rPr>
          <w:sz w:val="22"/>
          <w:szCs w:val="22"/>
          <w:highlight w:val="yellow"/>
        </w:rPr>
        <w:t>[OPTIONAL: Insert a brief example from your practice where a patient experienced a treatment delay due to authorization requirements and the clinical consequence.]</w:t>
      </w:r>
      <w:r w:rsidRPr="002D0BE8">
        <w:rPr>
          <w:sz w:val="22"/>
          <w:szCs w:val="22"/>
        </w:rPr>
        <w:br/>
      </w:r>
    </w:p>
    <w:p w14:paraId="3BA5AFB7" w14:textId="77777777" w:rsidR="006D1917" w:rsidRPr="002D0BE8" w:rsidRDefault="006D1917" w:rsidP="006D1917">
      <w:pPr>
        <w:rPr>
          <w:b/>
          <w:bCs/>
          <w:sz w:val="22"/>
          <w:szCs w:val="22"/>
          <w:highlight w:val="cyan"/>
        </w:rPr>
      </w:pPr>
      <w:r w:rsidRPr="002D0BE8">
        <w:rPr>
          <w:b/>
          <w:bCs/>
          <w:sz w:val="22"/>
          <w:szCs w:val="22"/>
          <w:highlight w:val="cyan"/>
        </w:rPr>
        <w:t>Recommended Language</w:t>
      </w:r>
    </w:p>
    <w:p w14:paraId="5E52DE30" w14:textId="77777777" w:rsidR="006D1917" w:rsidRPr="002D0BE8" w:rsidRDefault="006D1917" w:rsidP="006D1917">
      <w:pPr>
        <w:rPr>
          <w:b/>
          <w:bCs/>
          <w:sz w:val="22"/>
          <w:szCs w:val="22"/>
        </w:rPr>
      </w:pPr>
      <w:r w:rsidRPr="002D0BE8">
        <w:rPr>
          <w:sz w:val="22"/>
          <w:szCs w:val="22"/>
          <w:highlight w:val="cyan"/>
        </w:rPr>
        <w:t>For continued coverage of topical oxygen therapy beyond the initial month, the treating practitioner shall document continued medical necessity through an in-person or telehealth evaluation, or through documentation in the beneficiary's medical record demonstrating ongoing clinical benefit and adherence to optimized diabetic foot ulcer care. An in-person visit shall not be required more frequently than every ninety (90) days unless clinically indicated.</w:t>
      </w:r>
    </w:p>
    <w:p w14:paraId="71BA900A" w14:textId="3D196B7E" w:rsidR="009C756C" w:rsidRPr="002D0BE8" w:rsidRDefault="009C756C" w:rsidP="00B1295B">
      <w:pPr>
        <w:rPr>
          <w:sz w:val="22"/>
          <w:szCs w:val="22"/>
        </w:rPr>
      </w:pPr>
      <w:r w:rsidRPr="002D0BE8">
        <w:rPr>
          <w:sz w:val="22"/>
          <w:szCs w:val="22"/>
        </w:rPr>
        <w:br/>
      </w:r>
      <w:r w:rsidRPr="002D0BE8">
        <w:rPr>
          <w:b/>
          <w:bCs/>
          <w:sz w:val="22"/>
          <w:szCs w:val="22"/>
        </w:rPr>
        <w:t xml:space="preserve">Concern </w:t>
      </w:r>
      <w:r w:rsidR="00AF3FE6">
        <w:rPr>
          <w:b/>
          <w:bCs/>
          <w:sz w:val="22"/>
          <w:szCs w:val="22"/>
        </w:rPr>
        <w:t>5</w:t>
      </w:r>
      <w:r w:rsidRPr="002D0BE8">
        <w:rPr>
          <w:b/>
          <w:bCs/>
          <w:sz w:val="22"/>
          <w:szCs w:val="22"/>
        </w:rPr>
        <w:t>: "Optimized Diabetic Foot Ulcer Care" Is Not Defined</w:t>
      </w:r>
      <w:r w:rsidRPr="002D0BE8">
        <w:rPr>
          <w:sz w:val="22"/>
          <w:szCs w:val="22"/>
        </w:rPr>
        <w:br/>
      </w:r>
      <w:r w:rsidRPr="002D0BE8">
        <w:rPr>
          <w:sz w:val="22"/>
          <w:szCs w:val="22"/>
        </w:rPr>
        <w:br/>
        <w:t>The LCD repeatedly references "optimized diabetic foot ulcer care" without providing a definition within the LCD itself. This creates ambiguity for providers regarding what documentation is required to demonstrate that standard care has been attempted and failed.</w:t>
      </w:r>
      <w:r w:rsidRPr="002D0BE8">
        <w:rPr>
          <w:sz w:val="22"/>
          <w:szCs w:val="22"/>
        </w:rPr>
        <w:br/>
      </w:r>
      <w:r w:rsidRPr="002D0BE8">
        <w:rPr>
          <w:sz w:val="22"/>
          <w:szCs w:val="22"/>
        </w:rPr>
        <w:br/>
        <w:t xml:space="preserve">The ADA 2026 Standards of Care enumerate five basic principles: (1) offloading, (2) debridement, (3) </w:t>
      </w:r>
      <w:proofErr w:type="gramStart"/>
      <w:r w:rsidRPr="002D0BE8">
        <w:rPr>
          <w:sz w:val="22"/>
          <w:szCs w:val="22"/>
        </w:rPr>
        <w:t>revascularization</w:t>
      </w:r>
      <w:proofErr w:type="gramEnd"/>
      <w:r w:rsidRPr="002D0BE8">
        <w:rPr>
          <w:sz w:val="22"/>
          <w:szCs w:val="22"/>
        </w:rPr>
        <w:t xml:space="preserve"> when necessary, (4) infection management, and (5) wound-appropriate dressings. I request that the LCD include this definition directly, rather than deferring entirely to the Policy Article.</w:t>
      </w:r>
      <w:r w:rsidRPr="002D0BE8">
        <w:rPr>
          <w:sz w:val="22"/>
          <w:szCs w:val="22"/>
        </w:rPr>
        <w:br/>
      </w:r>
      <w:r w:rsidRPr="002D0BE8">
        <w:rPr>
          <w:sz w:val="22"/>
          <w:szCs w:val="22"/>
        </w:rPr>
        <w:br/>
      </w:r>
      <w:r w:rsidRPr="002D0BE8">
        <w:rPr>
          <w:sz w:val="22"/>
          <w:szCs w:val="22"/>
        </w:rPr>
        <w:br/>
      </w:r>
      <w:r w:rsidRPr="002D0BE8">
        <w:rPr>
          <w:sz w:val="22"/>
          <w:szCs w:val="22"/>
        </w:rPr>
        <w:br/>
      </w:r>
      <w:r w:rsidRPr="002D0BE8">
        <w:rPr>
          <w:b/>
          <w:bCs/>
          <w:sz w:val="22"/>
          <w:szCs w:val="22"/>
        </w:rPr>
        <w:t>Closing Statement</w:t>
      </w:r>
      <w:r w:rsidRPr="002D0BE8">
        <w:rPr>
          <w:sz w:val="22"/>
          <w:szCs w:val="22"/>
        </w:rPr>
        <w:br/>
      </w:r>
      <w:r w:rsidRPr="002D0BE8">
        <w:rPr>
          <w:sz w:val="22"/>
          <w:szCs w:val="22"/>
        </w:rPr>
        <w:br/>
        <w:t xml:space="preserve">In my practice, I treat approximately </w:t>
      </w:r>
      <w:r w:rsidRPr="002D0BE8">
        <w:rPr>
          <w:sz w:val="22"/>
          <w:szCs w:val="22"/>
          <w:highlight w:val="yellow"/>
        </w:rPr>
        <w:t>[insert number</w:t>
      </w:r>
      <w:r w:rsidRPr="002D0BE8">
        <w:rPr>
          <w:sz w:val="22"/>
          <w:szCs w:val="22"/>
        </w:rPr>
        <w:t xml:space="preserve">] </w:t>
      </w:r>
      <w:r w:rsidR="00F2010D" w:rsidRPr="002D0BE8">
        <w:rPr>
          <w:sz w:val="22"/>
          <w:szCs w:val="22"/>
        </w:rPr>
        <w:t>patients</w:t>
      </w:r>
      <w:r w:rsidRPr="002D0BE8">
        <w:rPr>
          <w:sz w:val="22"/>
          <w:szCs w:val="22"/>
        </w:rPr>
        <w:t xml:space="preserve"> with DFUs annually. </w:t>
      </w:r>
      <w:r w:rsidRPr="002D0BE8">
        <w:rPr>
          <w:sz w:val="22"/>
          <w:szCs w:val="22"/>
          <w:highlight w:val="yellow"/>
        </w:rPr>
        <w:t xml:space="preserve">[OPTIONAL: </w:t>
      </w:r>
      <w:r w:rsidRPr="002D0BE8">
        <w:rPr>
          <w:sz w:val="22"/>
          <w:szCs w:val="22"/>
          <w:highlight w:val="yellow"/>
        </w:rPr>
        <w:lastRenderedPageBreak/>
        <w:t>Insert 1-2 sentences about your clinical experience with TOT or with patients who would benefit from TOT coverage.]</w:t>
      </w:r>
      <w:r w:rsidRPr="002D0BE8">
        <w:rPr>
          <w:sz w:val="22"/>
          <w:szCs w:val="22"/>
        </w:rPr>
        <w:br/>
      </w:r>
      <w:r w:rsidRPr="002D0BE8">
        <w:rPr>
          <w:sz w:val="22"/>
          <w:szCs w:val="22"/>
        </w:rPr>
        <w:br/>
        <w:t>I support the establishment of TOT coverage and respectfully request that the provisions identified above be modified to ensure that the final LCD achieves its intended purpose of providing access to this evidence-based therapy.</w:t>
      </w:r>
      <w:r w:rsidRPr="002D0BE8">
        <w:rPr>
          <w:sz w:val="22"/>
          <w:szCs w:val="22"/>
        </w:rPr>
        <w:br/>
      </w:r>
      <w:r w:rsidRPr="002D0BE8">
        <w:rPr>
          <w:sz w:val="22"/>
          <w:szCs w:val="22"/>
        </w:rPr>
        <w:br/>
        <w:t>I welcome the opportunity to provide additional information or discuss these concerns further.</w:t>
      </w:r>
      <w:r w:rsidRPr="002D0BE8">
        <w:rPr>
          <w:sz w:val="22"/>
          <w:szCs w:val="22"/>
        </w:rPr>
        <w:br/>
      </w:r>
      <w:r w:rsidRPr="002D0BE8">
        <w:rPr>
          <w:sz w:val="22"/>
          <w:szCs w:val="22"/>
        </w:rPr>
        <w:br/>
        <w:t>Respectfully submitted,</w:t>
      </w:r>
      <w:r w:rsidRPr="002D0BE8">
        <w:rPr>
          <w:sz w:val="22"/>
          <w:szCs w:val="22"/>
        </w:rPr>
        <w:br/>
      </w:r>
      <w:r w:rsidRPr="002D0BE8">
        <w:rPr>
          <w:sz w:val="22"/>
          <w:szCs w:val="22"/>
        </w:rPr>
        <w:br/>
      </w:r>
      <w:r w:rsidRPr="002D0BE8">
        <w:rPr>
          <w:sz w:val="22"/>
          <w:szCs w:val="22"/>
          <w:highlight w:val="yellow"/>
        </w:rPr>
        <w:t>[Signature]</w:t>
      </w:r>
      <w:r w:rsidRPr="002D0BE8">
        <w:rPr>
          <w:sz w:val="22"/>
          <w:szCs w:val="22"/>
          <w:highlight w:val="yellow"/>
        </w:rPr>
        <w:br/>
      </w:r>
      <w:r w:rsidRPr="002D0BE8">
        <w:rPr>
          <w:sz w:val="22"/>
          <w:szCs w:val="22"/>
          <w:highlight w:val="yellow"/>
        </w:rPr>
        <w:br/>
        <w:t>[Insert Name, Credentials]</w:t>
      </w:r>
      <w:r w:rsidRPr="002D0BE8">
        <w:rPr>
          <w:sz w:val="22"/>
          <w:szCs w:val="22"/>
          <w:highlight w:val="yellow"/>
        </w:rPr>
        <w:br/>
      </w:r>
      <w:r w:rsidRPr="002D0BE8">
        <w:rPr>
          <w:sz w:val="22"/>
          <w:szCs w:val="22"/>
          <w:highlight w:val="yellow"/>
        </w:rPr>
        <w:br/>
        <w:t>[Insert Practice Name]</w:t>
      </w:r>
      <w:r w:rsidRPr="002D0BE8">
        <w:rPr>
          <w:sz w:val="22"/>
          <w:szCs w:val="22"/>
          <w:highlight w:val="yellow"/>
        </w:rPr>
        <w:br/>
      </w:r>
      <w:r w:rsidRPr="002D0BE8">
        <w:rPr>
          <w:sz w:val="22"/>
          <w:szCs w:val="22"/>
          <w:highlight w:val="yellow"/>
        </w:rPr>
        <w:br/>
        <w:t>[Insert Date]</w:t>
      </w:r>
      <w:r w:rsidRPr="002D0BE8">
        <w:rPr>
          <w:sz w:val="22"/>
          <w:szCs w:val="22"/>
        </w:rPr>
        <w:br/>
      </w:r>
      <w:r w:rsidRPr="002D0BE8">
        <w:rPr>
          <w:sz w:val="22"/>
          <w:szCs w:val="22"/>
        </w:rPr>
        <w:br/>
      </w:r>
      <w:r w:rsidRPr="002D0BE8">
        <w:rPr>
          <w:sz w:val="22"/>
          <w:szCs w:val="22"/>
        </w:rPr>
        <w:br/>
      </w:r>
      <w:r w:rsidRPr="002D0BE8">
        <w:rPr>
          <w:sz w:val="22"/>
          <w:szCs w:val="22"/>
        </w:rPr>
        <w:br/>
      </w:r>
    </w:p>
    <w:p w14:paraId="1D763C5E" w14:textId="77777777" w:rsidR="00550AB7" w:rsidRPr="002D0BE8" w:rsidRDefault="00550AB7">
      <w:pPr>
        <w:rPr>
          <w:sz w:val="22"/>
          <w:szCs w:val="22"/>
        </w:rPr>
      </w:pPr>
    </w:p>
    <w:sectPr w:rsidR="00550AB7" w:rsidRPr="002D0B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743D5"/>
    <w:multiLevelType w:val="hybridMultilevel"/>
    <w:tmpl w:val="23C82310"/>
    <w:lvl w:ilvl="0" w:tplc="6F0A5324">
      <w:start w:val="1"/>
      <w:numFmt w:val="bullet"/>
      <w:lvlText w:val="•"/>
      <w:lvlJc w:val="left"/>
      <w:pPr>
        <w:tabs>
          <w:tab w:val="num" w:pos="720"/>
        </w:tabs>
        <w:ind w:left="720" w:hanging="360"/>
      </w:pPr>
      <w:rPr>
        <w:rFonts w:ascii="Arial" w:hAnsi="Arial" w:hint="default"/>
      </w:rPr>
    </w:lvl>
    <w:lvl w:ilvl="1" w:tplc="DD7A26E2" w:tentative="1">
      <w:start w:val="1"/>
      <w:numFmt w:val="bullet"/>
      <w:lvlText w:val="•"/>
      <w:lvlJc w:val="left"/>
      <w:pPr>
        <w:tabs>
          <w:tab w:val="num" w:pos="1440"/>
        </w:tabs>
        <w:ind w:left="1440" w:hanging="360"/>
      </w:pPr>
      <w:rPr>
        <w:rFonts w:ascii="Arial" w:hAnsi="Arial" w:hint="default"/>
      </w:rPr>
    </w:lvl>
    <w:lvl w:ilvl="2" w:tplc="0F4A0F86" w:tentative="1">
      <w:start w:val="1"/>
      <w:numFmt w:val="bullet"/>
      <w:lvlText w:val="•"/>
      <w:lvlJc w:val="left"/>
      <w:pPr>
        <w:tabs>
          <w:tab w:val="num" w:pos="2160"/>
        </w:tabs>
        <w:ind w:left="2160" w:hanging="360"/>
      </w:pPr>
      <w:rPr>
        <w:rFonts w:ascii="Arial" w:hAnsi="Arial" w:hint="default"/>
      </w:rPr>
    </w:lvl>
    <w:lvl w:ilvl="3" w:tplc="EC285724" w:tentative="1">
      <w:start w:val="1"/>
      <w:numFmt w:val="bullet"/>
      <w:lvlText w:val="•"/>
      <w:lvlJc w:val="left"/>
      <w:pPr>
        <w:tabs>
          <w:tab w:val="num" w:pos="2880"/>
        </w:tabs>
        <w:ind w:left="2880" w:hanging="360"/>
      </w:pPr>
      <w:rPr>
        <w:rFonts w:ascii="Arial" w:hAnsi="Arial" w:hint="default"/>
      </w:rPr>
    </w:lvl>
    <w:lvl w:ilvl="4" w:tplc="86A022C8" w:tentative="1">
      <w:start w:val="1"/>
      <w:numFmt w:val="bullet"/>
      <w:lvlText w:val="•"/>
      <w:lvlJc w:val="left"/>
      <w:pPr>
        <w:tabs>
          <w:tab w:val="num" w:pos="3600"/>
        </w:tabs>
        <w:ind w:left="3600" w:hanging="360"/>
      </w:pPr>
      <w:rPr>
        <w:rFonts w:ascii="Arial" w:hAnsi="Arial" w:hint="default"/>
      </w:rPr>
    </w:lvl>
    <w:lvl w:ilvl="5" w:tplc="AEE038A8" w:tentative="1">
      <w:start w:val="1"/>
      <w:numFmt w:val="bullet"/>
      <w:lvlText w:val="•"/>
      <w:lvlJc w:val="left"/>
      <w:pPr>
        <w:tabs>
          <w:tab w:val="num" w:pos="4320"/>
        </w:tabs>
        <w:ind w:left="4320" w:hanging="360"/>
      </w:pPr>
      <w:rPr>
        <w:rFonts w:ascii="Arial" w:hAnsi="Arial" w:hint="default"/>
      </w:rPr>
    </w:lvl>
    <w:lvl w:ilvl="6" w:tplc="00364F34" w:tentative="1">
      <w:start w:val="1"/>
      <w:numFmt w:val="bullet"/>
      <w:lvlText w:val="•"/>
      <w:lvlJc w:val="left"/>
      <w:pPr>
        <w:tabs>
          <w:tab w:val="num" w:pos="5040"/>
        </w:tabs>
        <w:ind w:left="5040" w:hanging="360"/>
      </w:pPr>
      <w:rPr>
        <w:rFonts w:ascii="Arial" w:hAnsi="Arial" w:hint="default"/>
      </w:rPr>
    </w:lvl>
    <w:lvl w:ilvl="7" w:tplc="F392C71E" w:tentative="1">
      <w:start w:val="1"/>
      <w:numFmt w:val="bullet"/>
      <w:lvlText w:val="•"/>
      <w:lvlJc w:val="left"/>
      <w:pPr>
        <w:tabs>
          <w:tab w:val="num" w:pos="5760"/>
        </w:tabs>
        <w:ind w:left="5760" w:hanging="360"/>
      </w:pPr>
      <w:rPr>
        <w:rFonts w:ascii="Arial" w:hAnsi="Arial" w:hint="default"/>
      </w:rPr>
    </w:lvl>
    <w:lvl w:ilvl="8" w:tplc="6BFC1A98" w:tentative="1">
      <w:start w:val="1"/>
      <w:numFmt w:val="bullet"/>
      <w:lvlText w:val="•"/>
      <w:lvlJc w:val="left"/>
      <w:pPr>
        <w:tabs>
          <w:tab w:val="num" w:pos="6480"/>
        </w:tabs>
        <w:ind w:left="6480" w:hanging="360"/>
      </w:pPr>
      <w:rPr>
        <w:rFonts w:ascii="Arial" w:hAnsi="Arial" w:hint="default"/>
      </w:rPr>
    </w:lvl>
  </w:abstractNum>
  <w:num w:numId="1" w16cid:durableId="1205411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A73"/>
    <w:rsid w:val="00063720"/>
    <w:rsid w:val="00074BB9"/>
    <w:rsid w:val="00091BBF"/>
    <w:rsid w:val="000D463B"/>
    <w:rsid w:val="00181620"/>
    <w:rsid w:val="001A453E"/>
    <w:rsid w:val="001F277B"/>
    <w:rsid w:val="0024154D"/>
    <w:rsid w:val="00267B4C"/>
    <w:rsid w:val="00284793"/>
    <w:rsid w:val="002A7048"/>
    <w:rsid w:val="002C5102"/>
    <w:rsid w:val="002D0BE8"/>
    <w:rsid w:val="00300651"/>
    <w:rsid w:val="00326D27"/>
    <w:rsid w:val="00344100"/>
    <w:rsid w:val="003C0101"/>
    <w:rsid w:val="00446FE8"/>
    <w:rsid w:val="00455CD0"/>
    <w:rsid w:val="00456F65"/>
    <w:rsid w:val="00511C23"/>
    <w:rsid w:val="00513C1C"/>
    <w:rsid w:val="00550AB7"/>
    <w:rsid w:val="0058770B"/>
    <w:rsid w:val="00595B45"/>
    <w:rsid w:val="005A558A"/>
    <w:rsid w:val="005B70F7"/>
    <w:rsid w:val="005E0072"/>
    <w:rsid w:val="00616064"/>
    <w:rsid w:val="006D1917"/>
    <w:rsid w:val="006E16E9"/>
    <w:rsid w:val="00746A33"/>
    <w:rsid w:val="00751F7F"/>
    <w:rsid w:val="007F0A73"/>
    <w:rsid w:val="007F72C3"/>
    <w:rsid w:val="00842C85"/>
    <w:rsid w:val="00856571"/>
    <w:rsid w:val="00864395"/>
    <w:rsid w:val="0087721B"/>
    <w:rsid w:val="009103F7"/>
    <w:rsid w:val="00921C91"/>
    <w:rsid w:val="00926728"/>
    <w:rsid w:val="0097493D"/>
    <w:rsid w:val="0098034E"/>
    <w:rsid w:val="009C0B46"/>
    <w:rsid w:val="009C756C"/>
    <w:rsid w:val="00A00596"/>
    <w:rsid w:val="00A0102F"/>
    <w:rsid w:val="00A70CD5"/>
    <w:rsid w:val="00AB590B"/>
    <w:rsid w:val="00AF3FE6"/>
    <w:rsid w:val="00B1295B"/>
    <w:rsid w:val="00B17C08"/>
    <w:rsid w:val="00C24EEC"/>
    <w:rsid w:val="00C416C0"/>
    <w:rsid w:val="00C86286"/>
    <w:rsid w:val="00CB2C2E"/>
    <w:rsid w:val="00D42069"/>
    <w:rsid w:val="00D53721"/>
    <w:rsid w:val="00D9646A"/>
    <w:rsid w:val="00DD49CC"/>
    <w:rsid w:val="00E66174"/>
    <w:rsid w:val="00E8607B"/>
    <w:rsid w:val="00EB686C"/>
    <w:rsid w:val="00F2010D"/>
    <w:rsid w:val="00F2278E"/>
    <w:rsid w:val="00F559DB"/>
    <w:rsid w:val="00FD2CC4"/>
    <w:rsid w:val="00FD30A4"/>
    <w:rsid w:val="00FF0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B7597"/>
  <w15:chartTrackingRefBased/>
  <w15:docId w15:val="{84B07EAD-6F1F-41F4-86CC-EC0EF2646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0A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0A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0A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0A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0A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0A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0A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0A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0A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0A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0A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0A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0A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0A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0A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0A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0A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0A73"/>
    <w:rPr>
      <w:rFonts w:eastAsiaTheme="majorEastAsia" w:cstheme="majorBidi"/>
      <w:color w:val="272727" w:themeColor="text1" w:themeTint="D8"/>
    </w:rPr>
  </w:style>
  <w:style w:type="paragraph" w:styleId="Title">
    <w:name w:val="Title"/>
    <w:basedOn w:val="Normal"/>
    <w:next w:val="Normal"/>
    <w:link w:val="TitleChar"/>
    <w:uiPriority w:val="10"/>
    <w:qFormat/>
    <w:rsid w:val="007F0A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0A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0A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0A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0A73"/>
    <w:pPr>
      <w:spacing w:before="160"/>
      <w:jc w:val="center"/>
    </w:pPr>
    <w:rPr>
      <w:i/>
      <w:iCs/>
      <w:color w:val="404040" w:themeColor="text1" w:themeTint="BF"/>
    </w:rPr>
  </w:style>
  <w:style w:type="character" w:customStyle="1" w:styleId="QuoteChar">
    <w:name w:val="Quote Char"/>
    <w:basedOn w:val="DefaultParagraphFont"/>
    <w:link w:val="Quote"/>
    <w:uiPriority w:val="29"/>
    <w:rsid w:val="007F0A73"/>
    <w:rPr>
      <w:i/>
      <w:iCs/>
      <w:color w:val="404040" w:themeColor="text1" w:themeTint="BF"/>
    </w:rPr>
  </w:style>
  <w:style w:type="paragraph" w:styleId="ListParagraph">
    <w:name w:val="List Paragraph"/>
    <w:basedOn w:val="Normal"/>
    <w:uiPriority w:val="34"/>
    <w:qFormat/>
    <w:rsid w:val="007F0A73"/>
    <w:pPr>
      <w:ind w:left="720"/>
      <w:contextualSpacing/>
    </w:pPr>
  </w:style>
  <w:style w:type="character" w:styleId="IntenseEmphasis">
    <w:name w:val="Intense Emphasis"/>
    <w:basedOn w:val="DefaultParagraphFont"/>
    <w:uiPriority w:val="21"/>
    <w:qFormat/>
    <w:rsid w:val="007F0A73"/>
    <w:rPr>
      <w:i/>
      <w:iCs/>
      <w:color w:val="0F4761" w:themeColor="accent1" w:themeShade="BF"/>
    </w:rPr>
  </w:style>
  <w:style w:type="paragraph" w:styleId="IntenseQuote">
    <w:name w:val="Intense Quote"/>
    <w:basedOn w:val="Normal"/>
    <w:next w:val="Normal"/>
    <w:link w:val="IntenseQuoteChar"/>
    <w:uiPriority w:val="30"/>
    <w:qFormat/>
    <w:rsid w:val="007F0A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0A73"/>
    <w:rPr>
      <w:i/>
      <w:iCs/>
      <w:color w:val="0F4761" w:themeColor="accent1" w:themeShade="BF"/>
    </w:rPr>
  </w:style>
  <w:style w:type="character" w:styleId="IntenseReference">
    <w:name w:val="Intense Reference"/>
    <w:basedOn w:val="DefaultParagraphFont"/>
    <w:uiPriority w:val="32"/>
    <w:qFormat/>
    <w:rsid w:val="007F0A73"/>
    <w:rPr>
      <w:b/>
      <w:bCs/>
      <w:smallCaps/>
      <w:color w:val="0F4761" w:themeColor="accent1" w:themeShade="BF"/>
      <w:spacing w:val="5"/>
    </w:rPr>
  </w:style>
  <w:style w:type="character" w:styleId="Hyperlink">
    <w:name w:val="Hyperlink"/>
    <w:basedOn w:val="DefaultParagraphFont"/>
    <w:uiPriority w:val="99"/>
    <w:unhideWhenUsed/>
    <w:rsid w:val="00456F65"/>
    <w:rPr>
      <w:color w:val="467886" w:themeColor="hyperlink"/>
      <w:u w:val="single"/>
    </w:rPr>
  </w:style>
  <w:style w:type="character" w:styleId="UnresolvedMention">
    <w:name w:val="Unresolved Mention"/>
    <w:basedOn w:val="DefaultParagraphFont"/>
    <w:uiPriority w:val="99"/>
    <w:semiHidden/>
    <w:unhideWhenUsed/>
    <w:rsid w:val="00456F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ontrollled xmlns="16e719bd-9fd1-40e8-b3bd-3d4db5ceb5b2">true</Controllled>
    <Dateandtime xmlns="16e719bd-9fd1-40e8-b3bd-3d4db5ceb5b2" xsi:nil="true"/>
    <Taskcompleted xmlns="16e719bd-9fd1-40e8-b3bd-3d4db5ceb5b2" xsi:nil="true"/>
    <TaxKeywordTaxHTField xmlns="3463e03e-5071-4644-928d-c42891b762fb">
      <Terms xmlns="http://schemas.microsoft.com/office/infopath/2007/PartnerControls"/>
    </TaxKeywordTaxHTField>
    <lcf76f155ced4ddcb4097134ff3c332f xmlns="16e719bd-9fd1-40e8-b3bd-3d4db5ceb5b2">
      <Terms xmlns="http://schemas.microsoft.com/office/infopath/2007/PartnerControls"/>
    </lcf76f155ced4ddcb4097134ff3c332f>
    <Date xmlns="16e719bd-9fd1-40e8-b3bd-3d4db5ceb5b2" xsi:nil="true"/>
    <TaxCatchAll xmlns="3463e03e-5071-4644-928d-c42891b762fb" xsi:nil="true"/>
    <Mode xmlns="16e719bd-9fd1-40e8-b3bd-3d4db5ceb5b2">
      <Url xsi:nil="true"/>
      <Description xsi:nil="true"/>
    </Mod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180FD0848AF644F82771328DFF76E97" ma:contentTypeVersion="30" ma:contentTypeDescription="Create a new document." ma:contentTypeScope="" ma:versionID="d2fcf8dfd087da9bfb498b1bb63111eb">
  <xsd:schema xmlns:xsd="http://www.w3.org/2001/XMLSchema" xmlns:xs="http://www.w3.org/2001/XMLSchema" xmlns:p="http://schemas.microsoft.com/office/2006/metadata/properties" xmlns:ns2="3463e03e-5071-4644-928d-c42891b762fb" xmlns:ns3="16e719bd-9fd1-40e8-b3bd-3d4db5ceb5b2" targetNamespace="http://schemas.microsoft.com/office/2006/metadata/properties" ma:root="true" ma:fieldsID="e5304262cd53efedfc5cfe448c2ee20f" ns2:_="" ns3:_="">
    <xsd:import namespace="3463e03e-5071-4644-928d-c42891b762fb"/>
    <xsd:import namespace="16e719bd-9fd1-40e8-b3bd-3d4db5ceb5b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3:Controllled" minOccurs="0"/>
                <xsd:element ref="ns3:Mode" minOccurs="0"/>
                <xsd:element ref="ns2:TaxKeywordTaxHTField" minOccurs="0"/>
                <xsd:element ref="ns2:TaxCatchAll" minOccurs="0"/>
                <xsd:element ref="ns3:MediaLengthInSeconds" minOccurs="0"/>
                <xsd:element ref="ns3:lcf76f155ced4ddcb4097134ff3c332f" minOccurs="0"/>
                <xsd:element ref="ns3:Date" minOccurs="0"/>
                <xsd:element ref="ns3:Dateandtime" minOccurs="0"/>
                <xsd:element ref="ns3:MediaServiceObjectDetectorVersions" minOccurs="0"/>
                <xsd:element ref="ns3:MediaServiceSearchProperties" minOccurs="0"/>
                <xsd:element ref="ns3:Taskcomplete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63e03e-5071-4644-928d-c42891b762f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KeywordTaxHTField" ma:index="23" nillable="true" ma:taxonomy="true" ma:internalName="TaxKeywordTaxHTField" ma:taxonomyFieldName="TaxKeyword" ma:displayName="Enterprise Keywords" ma:readOnly="false"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element name="TaxCatchAll" ma:index="24" nillable="true" ma:displayName="Taxonomy Catch All Column" ma:hidden="true" ma:list="{247f1c12-fc7a-4083-9251-60f5f2f79ec6}" ma:internalName="TaxCatchAll" ma:showField="CatchAllData" ma:web="3463e03e-5071-4644-928d-c42891b762f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6e719bd-9fd1-40e8-b3bd-3d4db5ceb5b2"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Controllled" ma:index="20" nillable="true" ma:displayName="Controlled" ma:default="1" ma:format="Dropdown" ma:internalName="Controllled">
      <xsd:simpleType>
        <xsd:restriction base="dms:Boolean"/>
      </xsd:simpleType>
    </xsd:element>
    <xsd:element name="Mode" ma:index="21" nillable="true" ma:displayName="Mode" ma:format="Image" ma:internalName="Mode">
      <xsd:complexType>
        <xsd:complexContent>
          <xsd:extension base="dms:URL">
            <xsd:sequence>
              <xsd:element name="Url" type="dms:ValidUrl" minOccurs="0" nillable="true"/>
              <xsd:element name="Description" type="xsd:string" nillable="true"/>
            </xsd:sequence>
          </xsd:extension>
        </xsd:complexContent>
      </xsd:complex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ceb821ec-cbcb-4a92-822a-323a44e87175" ma:termSetId="09814cd3-568e-fe90-9814-8d621ff8fb84" ma:anchorId="fba54fb3-c3e1-fe81-a776-ca4b69148c4d" ma:open="true" ma:isKeyword="false">
      <xsd:complexType>
        <xsd:sequence>
          <xsd:element ref="pc:Terms" minOccurs="0" maxOccurs="1"/>
        </xsd:sequence>
      </xsd:complexType>
    </xsd:element>
    <xsd:element name="Date" ma:index="28" nillable="true" ma:displayName="Date " ma:format="DateTime" ma:internalName="Date">
      <xsd:simpleType>
        <xsd:restriction base="dms:DateTime"/>
      </xsd:simpleType>
    </xsd:element>
    <xsd:element name="Dateandtime" ma:index="29" nillable="true" ma:displayName="Date and time" ma:format="DateOnly" ma:internalName="Dateandtime">
      <xsd:simpleType>
        <xsd:restriction base="dms:DateTim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Taskcompleted" ma:index="32" nillable="true" ma:displayName="Task completed" ma:format="DateOnly" ma:internalName="Taskcompleted">
      <xsd:simpleType>
        <xsd:restriction base="dms:DateTime"/>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900A4B-A99F-4642-9765-A33414FDBFDC}">
  <ds:schemaRefs>
    <ds:schemaRef ds:uri="http://schemas.microsoft.com/office/2006/metadata/properties"/>
    <ds:schemaRef ds:uri="http://schemas.microsoft.com/office/infopath/2007/PartnerControls"/>
    <ds:schemaRef ds:uri="16e719bd-9fd1-40e8-b3bd-3d4db5ceb5b2"/>
    <ds:schemaRef ds:uri="3463e03e-5071-4644-928d-c42891b762fb"/>
  </ds:schemaRefs>
</ds:datastoreItem>
</file>

<file path=customXml/itemProps2.xml><?xml version="1.0" encoding="utf-8"?>
<ds:datastoreItem xmlns:ds="http://schemas.openxmlformats.org/officeDocument/2006/customXml" ds:itemID="{001583F7-002C-4250-A97B-723461AD5CDD}">
  <ds:schemaRefs>
    <ds:schemaRef ds:uri="http://schemas.microsoft.com/sharepoint/v3/contenttype/forms"/>
  </ds:schemaRefs>
</ds:datastoreItem>
</file>

<file path=customXml/itemProps3.xml><?xml version="1.0" encoding="utf-8"?>
<ds:datastoreItem xmlns:ds="http://schemas.openxmlformats.org/officeDocument/2006/customXml" ds:itemID="{FCA6AD8C-E36F-4BC8-9F24-7561A95FB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63e03e-5071-4644-928d-c42891b762fb"/>
    <ds:schemaRef ds:uri="16e719bd-9fd1-40e8-b3bd-3d4db5ceb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1456</Words>
  <Characters>8303</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Kent State University</Company>
  <LinksUpToDate>false</LinksUpToDate>
  <CharactersWithSpaces>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 Windy</dc:creator>
  <cp:keywords/>
  <dc:description/>
  <cp:lastModifiedBy>Courtney Spero</cp:lastModifiedBy>
  <cp:revision>2</cp:revision>
  <dcterms:created xsi:type="dcterms:W3CDTF">2026-08-17T16:23:00Z</dcterms:created>
  <dcterms:modified xsi:type="dcterms:W3CDTF">2026-08-17T16:23:00Z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0x0101009180FD0848AF644F82771328DFF76E97</vt:lpwstr>
  </property>
  <property fmtid="{D5CDD505-2E9C-101B-9397-08002B2CF9AE}" pid="3" name="TaxKeyword">
    <vt:lpwstr/>
  </property>
</Properties>
</file>